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65" w:rsidRPr="006A330F" w:rsidRDefault="006A330F">
      <w:pPr>
        <w:rPr>
          <w:b/>
        </w:rPr>
      </w:pPr>
      <w:r w:rsidRPr="006A330F">
        <w:rPr>
          <w:b/>
        </w:rPr>
        <w:t>HOW ARE ANTI-GBM ANTIBODIES TO BE INCLUDED IN ANCA TESTING?</w:t>
      </w:r>
    </w:p>
    <w:p w:rsidR="006A330F" w:rsidRPr="006A330F" w:rsidRDefault="006A330F">
      <w:pPr>
        <w:rPr>
          <w:b/>
        </w:rPr>
      </w:pPr>
      <w:r w:rsidRPr="006A330F">
        <w:rPr>
          <w:b/>
        </w:rPr>
        <w:t>Charles D Pusey, Imperial College London</w:t>
      </w:r>
    </w:p>
    <w:p w:rsidR="006A330F" w:rsidRDefault="006A330F"/>
    <w:p w:rsidR="006A330F" w:rsidRDefault="006A330F">
      <w:r>
        <w:t xml:space="preserve">Both anti-GBM disease and ANCA-associated vasculitis </w:t>
      </w:r>
      <w:r w:rsidR="000E480F">
        <w:t>can</w:t>
      </w:r>
      <w:r>
        <w:t xml:space="preserve"> present with rapidly progressive glomerulonephritis or pulmonary renal syndrome.  Since treatment may differ, it is important to make the correct immunological diagnosis.  There is well established evidence that anti-GBM antibodies are pathogenic and that their removal by plasma exchange, combined with immunosuppressive drugs, improves renal recovery and patient outcome.  However, it has recently been recognised that </w:t>
      </w:r>
      <w:r w:rsidR="000E480F">
        <w:t>low</w:t>
      </w:r>
      <w:r>
        <w:t xml:space="preserve"> level</w:t>
      </w:r>
      <w:r w:rsidR="000E480F">
        <w:t>s</w:t>
      </w:r>
      <w:r>
        <w:t xml:space="preserve"> of natural autoantibodies to GBM may occur in normal individuals.  Furthermore, asymptomatic anti-GBM antibodies may be present in patients some time before development of clinical disease. Double positivity for both anti-GBM antibodies and ANCA is well recognised, with ANCA found in 30-40% of patients positive for anti-GBM antibodies, and anti-GBM antibodies found in 5-10% of patients positive for ANCA.  Many patients show clinical features of both diseases.  There are several case reports of patients in whom ANCA precede anti-GBM antibodies, suggesting that ANCA ma</w:t>
      </w:r>
      <w:bookmarkStart w:id="0" w:name="_GoBack"/>
      <w:bookmarkEnd w:id="0"/>
      <w:r>
        <w:t>y in some way induce anti-GBM antibody production.  Although there are reports that double positive patients show a better response to treatment than those with isolated anti-GBM disease, large</w:t>
      </w:r>
      <w:r w:rsidR="000E480F">
        <w:t>r</w:t>
      </w:r>
      <w:r>
        <w:t xml:space="preserve"> studies demonstrate that the initial outcome of double positive patients is similar to those with anti-GBM antibodies alone.  Recovery from advanced renal failure is extremely rare, as compared to patients with ANCA alone, of whom </w:t>
      </w:r>
      <w:r w:rsidR="000E480F">
        <w:t xml:space="preserve">around </w:t>
      </w:r>
      <w:r>
        <w:t xml:space="preserve">60% recover renal function if treated appropriately.  However, follow-up of double positive patients reveals that they are prone to disease relapse associated with recurrence of ANCA.  It is therefore important to test for anti-GBM antibodies in </w:t>
      </w:r>
      <w:r w:rsidR="000E480F">
        <w:t xml:space="preserve">all </w:t>
      </w:r>
      <w:r>
        <w:t>patients with RPGN or pulmonary renal syndrome, together with testing for ANCA.  Initial treatment of double positive patients should be as for anti-GBM disease, but long-term management as for patients with ANCA-associated vasculitis.</w:t>
      </w:r>
    </w:p>
    <w:sectPr w:rsidR="006A3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0F"/>
    <w:rsid w:val="000E480F"/>
    <w:rsid w:val="006A330F"/>
    <w:rsid w:val="00CC51DD"/>
    <w:rsid w:val="00E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Jagpal, Anjli S</dc:creator>
  <cp:lastModifiedBy>Jagpal, Anjli S</cp:lastModifiedBy>
  <cp:revision>2</cp:revision>
  <dcterms:created xsi:type="dcterms:W3CDTF">2012-05-04T09:59:00Z</dcterms:created>
  <dcterms:modified xsi:type="dcterms:W3CDTF">2012-05-04T14:14:00Z</dcterms:modified>
</cp:coreProperties>
</file>